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34" w:rsidRDefault="0013609E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0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Специалитет.</w:t>
      </w:r>
      <w:r w:rsidRPr="00136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B848F5" w:rsidRPr="00B848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Физические процессы горного или нефтегазового производства (21.05.05)</w:t>
      </w:r>
    </w:p>
    <w:p w:rsidR="009D7D43" w:rsidRDefault="009D7D43" w:rsidP="009D7D43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Инфраструктура научных исследований:</w:t>
      </w:r>
    </w:p>
    <w:p w:rsidR="009D7D43" w:rsidRDefault="003F359D" w:rsidP="003F359D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3F359D">
        <w:rPr>
          <w:rFonts w:ascii="Arial" w:eastAsia="Times New Roman" w:hAnsi="Arial" w:cs="Arial"/>
          <w:i/>
          <w:color w:val="000000"/>
          <w:sz w:val="24"/>
          <w:szCs w:val="24"/>
        </w:rPr>
        <w:t>НИС кафедры "Геология и физические процессы нефтегазового производства"</w:t>
      </w:r>
    </w:p>
    <w:p w:rsidR="009D7D43" w:rsidRDefault="009D7D43" w:rsidP="009D7D43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F359D" w:rsidTr="003F359D">
        <w:tc>
          <w:tcPr>
            <w:tcW w:w="14786" w:type="dxa"/>
          </w:tcPr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SpringerNature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Press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(CUP) (международное издательство)</w:t>
            </w:r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online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(научный журнал)</w:t>
            </w:r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Журналы издател</w:t>
            </w:r>
            <w:bookmarkStart w:id="0" w:name="_GoBack"/>
            <w:bookmarkEnd w:id="0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ьства SAGE 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Publication</w:t>
            </w:r>
            <w:proofErr w:type="spellEnd"/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Royal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Society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ВИНИТИ РАН (Всероссийский институт научной и технической информации Российской академии наук)</w:t>
            </w:r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РосПатент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ФИПС (Федеральный институт промышленной собственности)</w:t>
            </w:r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eLIBRARY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(Российский информационно-аналитический портал)</w:t>
            </w:r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POLPRED.COM</w:t>
            </w:r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ЭБС 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IPRBooks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(электронно-образовательный ресурс</w:t>
            </w:r>
            <w:proofErr w:type="gramEnd"/>
          </w:p>
          <w:p w:rsidR="003F359D" w:rsidRPr="003F359D" w:rsidRDefault="003F359D" w:rsidP="003F359D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SciFinder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(он-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лайн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сервис CAS для подписки и анализа информации для исследования в области химии, биологии, химической инженерии, </w:t>
            </w:r>
            <w:proofErr w:type="spellStart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нанотехнологий</w:t>
            </w:r>
            <w:proofErr w:type="spellEnd"/>
            <w:r w:rsidRPr="003F35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физики, геологии, металлургии и др. смежных дисциплин)</w:t>
            </w:r>
          </w:p>
        </w:tc>
      </w:tr>
    </w:tbl>
    <w:p w:rsidR="003F359D" w:rsidRDefault="003F359D" w:rsidP="009D7D43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:rsidR="009D7D43" w:rsidRDefault="009D7D43" w:rsidP="009D7D43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D7D43" w:rsidTr="0041457A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ПО: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CorelDRAW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GraphicsSuite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X4 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ПО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:</w:t>
            </w:r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ArcView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9.3Lab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Kit</w:t>
            </w:r>
            <w:proofErr w:type="spellEnd"/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Программное обеспечение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Sony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SoundForge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9 (SF9000)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Программное обеспечение для 3Д модели_3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АППАРАТ ДРОН-3/П23630012227/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Дериватограф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Q-1500D   \П23630002829\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Лабораторный комплекс по аэродинамике \П23630002980\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Нивелир SDL1X11-31 цифровой/П23630014562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Станок настольный отрезной СНО-4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lastRenderedPageBreak/>
              <w:t xml:space="preserve">Типовой комплект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оборуд</w:t>
            </w:r>
            <w:proofErr w:type="gram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.д</w:t>
            </w:r>
            <w:proofErr w:type="gram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ля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лаборатории Молекулярная физика и термодинамика ФПТ\П23630002701\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Вискозиметр ВРЦ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Измеритель магнитной восприимчивости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Satis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Geo</w:t>
            </w:r>
            <w:proofErr w:type="spellEnd"/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МИКРОСКОП Л-213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-</w:t>
            </w: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Микроскоп стереоскопический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панкратический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МСП-1 с системой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визуализ</w:t>
            </w:r>
            <w:proofErr w:type="gram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.и</w:t>
            </w:r>
            <w:proofErr w:type="gram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зображ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Муфельная </w:t>
            </w:r>
            <w:proofErr w:type="spellStart"/>
            <w:proofErr w:type="gram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Муфельная</w:t>
            </w:r>
            <w:proofErr w:type="spellEnd"/>
            <w:proofErr w:type="gram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печь ТИП СНОЛ 1,6.2,5.1/9-м2 У4.2.№1498 ТУ 16-531.408-72,сеть 1-220V 50 Hz.3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kW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 900С(вес 80 кг)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глд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выпуска 1975.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Навигационный приемник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Gamin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eTrex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Vista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HCx</w:t>
            </w:r>
            <w:proofErr w:type="spellEnd"/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Оптическая система для анализа геологических данных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Полевая лаборатория Литвинова ПЛЛ-9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Приемник GNSS GRX1 в комплекте c полевым контроллером SHC25A и штативом S6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Рейка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иварная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BIS30, 3м, для SDL/DL-500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Спутниковый приемник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Sokkia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GRX2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Тахеометр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Sokkia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CX-105</w:t>
            </w:r>
          </w:p>
          <w:p w:rsidR="009D7D43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Установка ультразвуковая для воздействия на жидкие среды ИЛ100-6\4</w:t>
            </w:r>
          </w:p>
          <w:p w:rsidR="009D7D43" w:rsidRPr="009725F9" w:rsidRDefault="009D7D43" w:rsidP="0041457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Фотомикроскоп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проходящего света</w:t>
            </w:r>
          </w:p>
        </w:tc>
      </w:tr>
    </w:tbl>
    <w:p w:rsidR="009D7D43" w:rsidRDefault="009D7D43" w:rsidP="009D7D43">
      <w:pPr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9D7D43" w:rsidRDefault="009D7D43" w:rsidP="009D7D43">
      <w:pPr>
        <w:jc w:val="both"/>
        <w:rPr>
          <w:rFonts w:ascii="Arial" w:hAnsi="Arial" w:cs="Arial"/>
          <w:b/>
          <w:sz w:val="24"/>
          <w:szCs w:val="24"/>
        </w:rPr>
      </w:pPr>
    </w:p>
    <w:p w:rsidR="009D7D43" w:rsidRDefault="009D7D43" w:rsidP="009D7D43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7D43" w:rsidRPr="00B848F5" w:rsidRDefault="009D7D43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9D7D43" w:rsidRPr="00B848F5" w:rsidSect="003F359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35954"/>
    <w:multiLevelType w:val="hybridMultilevel"/>
    <w:tmpl w:val="7904343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30FB7"/>
    <w:multiLevelType w:val="hybridMultilevel"/>
    <w:tmpl w:val="1CF089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F33CC"/>
    <w:rsid w:val="000F4EE8"/>
    <w:rsid w:val="00103AA8"/>
    <w:rsid w:val="001128CD"/>
    <w:rsid w:val="00124DBF"/>
    <w:rsid w:val="0013609E"/>
    <w:rsid w:val="001411F4"/>
    <w:rsid w:val="001940B7"/>
    <w:rsid w:val="001F65B3"/>
    <w:rsid w:val="00202A78"/>
    <w:rsid w:val="0024529E"/>
    <w:rsid w:val="0027568B"/>
    <w:rsid w:val="00285993"/>
    <w:rsid w:val="00290AF1"/>
    <w:rsid w:val="00302FCA"/>
    <w:rsid w:val="00342C0B"/>
    <w:rsid w:val="0037342F"/>
    <w:rsid w:val="003967A9"/>
    <w:rsid w:val="003A5605"/>
    <w:rsid w:val="003F359D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500D60"/>
    <w:rsid w:val="00541529"/>
    <w:rsid w:val="00555330"/>
    <w:rsid w:val="005554FE"/>
    <w:rsid w:val="00583CAC"/>
    <w:rsid w:val="006343F5"/>
    <w:rsid w:val="00645D43"/>
    <w:rsid w:val="006B35E0"/>
    <w:rsid w:val="006D4CD0"/>
    <w:rsid w:val="007B6F34"/>
    <w:rsid w:val="008701AA"/>
    <w:rsid w:val="008F699D"/>
    <w:rsid w:val="00945B61"/>
    <w:rsid w:val="0095014D"/>
    <w:rsid w:val="009852EA"/>
    <w:rsid w:val="00997840"/>
    <w:rsid w:val="009D7D43"/>
    <w:rsid w:val="00A2175F"/>
    <w:rsid w:val="00A35B40"/>
    <w:rsid w:val="00A5736D"/>
    <w:rsid w:val="00B57D2D"/>
    <w:rsid w:val="00B74DE1"/>
    <w:rsid w:val="00B848F5"/>
    <w:rsid w:val="00BB5EEF"/>
    <w:rsid w:val="00BB652F"/>
    <w:rsid w:val="00BD112C"/>
    <w:rsid w:val="00BE61C9"/>
    <w:rsid w:val="00C208EE"/>
    <w:rsid w:val="00C52531"/>
    <w:rsid w:val="00CB1573"/>
    <w:rsid w:val="00CE5FAB"/>
    <w:rsid w:val="00CF4BCF"/>
    <w:rsid w:val="00CF7DF6"/>
    <w:rsid w:val="00D1526C"/>
    <w:rsid w:val="00D2075D"/>
    <w:rsid w:val="00D33999"/>
    <w:rsid w:val="00D70037"/>
    <w:rsid w:val="00D70F11"/>
    <w:rsid w:val="00DA2F53"/>
    <w:rsid w:val="00DC643D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2017-08-07T07:51:00Z</cp:lastPrinted>
  <dcterms:created xsi:type="dcterms:W3CDTF">2017-08-09T08:47:00Z</dcterms:created>
  <dcterms:modified xsi:type="dcterms:W3CDTF">2024-07-09T05:56:00Z</dcterms:modified>
</cp:coreProperties>
</file>